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B47CC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520457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zh-CN"/>
        </w:rPr>
        <w:t>Dallas, USA, Nov. 17-21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5014D2BC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4B3E1ABB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</w:t>
      </w:r>
    </w:p>
    <w:p w14:paraId="75A598D4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29ED2131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4"/>
      <w:bookmarkStart w:id="3" w:name="OLE_LINK23"/>
      <w:bookmarkStart w:id="4" w:name="OLE_LINK8"/>
      <w:bookmarkStart w:id="5" w:name="OLE_LINK7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>iscussion on</w:t>
      </w:r>
      <w:bookmarkEnd w:id="2"/>
      <w:bookmarkEnd w:id="3"/>
      <w:r>
        <w:rPr>
          <w:rFonts w:hint="eastAsia" w:ascii="Times New Roman" w:hAnsi="Times New Roman"/>
          <w:sz w:val="20"/>
          <w:szCs w:val="20"/>
        </w:rPr>
        <w:t xml:space="preserve"> CSI reporting requirement and testing framework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</w:rPr>
        <w:t>CSI prediction</w:t>
      </w:r>
    </w:p>
    <w:bookmarkEnd w:id="4"/>
    <w:bookmarkEnd w:id="5"/>
    <w:p w14:paraId="7DB4B09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0D9430A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4BDC535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8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1D91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56C0ACA8">
            <w:pPr>
              <w:numPr>
                <w:ilvl w:val="0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59DE7CF8">
            <w:pPr>
              <w:numPr>
                <w:ilvl w:val="1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7BB01FF1">
            <w:pPr>
              <w:numPr>
                <w:ilvl w:val="1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0480D3BB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F40445D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core requirements </w:t>
      </w:r>
      <w:r>
        <w:rPr>
          <w:rFonts w:hint="eastAsia" w:ascii="Times New Roman" w:hAnsi="Times New Roman"/>
          <w:sz w:val="20"/>
          <w:szCs w:val="20"/>
        </w:rPr>
        <w:t>for CSI prediction.</w:t>
      </w:r>
    </w:p>
    <w:p w14:paraId="7AD6367C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bookmarkEnd w:id="6"/>
    <w:bookmarkEnd w:id="7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0661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C57208B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-1: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Requirements for performance monitoring</w:t>
            </w:r>
          </w:p>
          <w:p w14:paraId="23103940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40711634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No performance monitoring delay requirements are specified in RAN4 for CSI prediction.</w:t>
            </w:r>
          </w:p>
          <w:p w14:paraId="1CDA344C">
            <w:pP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</w:p>
          <w:p w14:paraId="0C792C81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Core requirements for PMI prediction reporting</w:t>
            </w:r>
          </w:p>
          <w:p w14:paraId="26049CD6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1A019137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Introduce a new clause under Clause 6 (6.X) in 38.101-4 as “Reporting of predicted PMI”</w:t>
            </w:r>
          </w:p>
          <w:p w14:paraId="38413DBF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9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Activation</w:t>
            </w:r>
          </w:p>
          <w:p w14:paraId="47334DDA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163E7040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No activation requirement in RAN4 spec for CSI prediction will be introduced. </w:t>
            </w:r>
          </w:p>
          <w:p w14:paraId="1561DBAE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hint="default" w:ascii="Times New Roman" w:hAnsi="Times New Roman" w:cs="Times New Roman"/>
                <w:b w:val="0"/>
                <w:bCs/>
                <w:iCs/>
                <w:sz w:val="20"/>
                <w:szCs w:val="20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Note: it is a general understanding that UE has to be ready to start measurements for inference after sending RRC reconfiguration complete. No details will be specified in RAN4. </w:t>
            </w:r>
          </w:p>
        </w:tc>
      </w:tr>
    </w:tbl>
    <w:p w14:paraId="4D4E550B">
      <w:pPr>
        <w:spacing w:after="180" w:line="240" w:lineRule="exact"/>
        <w:jc w:val="both"/>
        <w:rPr>
          <w:rFonts w:hint="eastAsia" w:ascii="Times New Roman" w:hAnsi="Times New Roman" w:cs="Times New Roman"/>
          <w:b w:val="0"/>
          <w:bCs/>
          <w:iCs/>
          <w:sz w:val="20"/>
          <w:szCs w:val="20"/>
          <w:highlight w:val="none"/>
          <w:u w:val="none"/>
          <w:lang w:val="en-US" w:eastAsia="zh-CN"/>
        </w:rPr>
      </w:pPr>
    </w:p>
    <w:p w14:paraId="4BBBC82C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CSI prediction, it was agreed not to define performance monitoring delay requirement. While whether to define reporting delay for inference is still open.  </w:t>
      </w:r>
    </w:p>
    <w:p w14:paraId="4E32739F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RAN1 #121 meeting, it was agreed that for CSI prediction using UE-side model, for inference, in addition to legacy Z/Z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doppler codebook, UE may report the value of t per SCS. Based on RAN1 agreements, the inference reporting delay shall be at least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legacy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Z/Z’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plus t, t is reported by UE.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3BCC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31" w:type="dxa"/>
          </w:tcPr>
          <w:p w14:paraId="3B9DC2EB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RAN1#121</w:t>
            </w:r>
          </w:p>
          <w:p w14:paraId="3900D12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0DAFD3E">
            <w:pPr>
              <w:widowControl w:val="0"/>
              <w:suppressAutoHyphens/>
              <w:ind w:left="0" w:firstLine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for inference, in addition to legacy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Z/Z’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for doppler codebook,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UE may report the value of t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per SCS</w:t>
            </w:r>
          </w:p>
          <w:p w14:paraId="04F1862B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Detailed value of t can be discussed in UE feature </w:t>
            </w:r>
          </w:p>
          <w:p w14:paraId="1CC06879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5F9D7C17">
      <w:pPr>
        <w:spacing w:after="180" w:line="240" w:lineRule="exact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 w14:paraId="6F18CAC1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1: based on RAN1 agreements, for CSI prediction, the inference reporting delay is legacy Z/Z’ plus t, where t is reported by UE. </w:t>
      </w:r>
    </w:p>
    <w:p w14:paraId="6FE9B985">
      <w:pPr>
        <w:spacing w:after="180" w:line="240" w:lineRule="exact"/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</w:t>
      </w:r>
      <w:r>
        <w:rPr>
          <w:rFonts w:hint="default" w:ascii="Times New Roman" w:hAnsi="Times New Roman" w:cs="Times New Roman"/>
          <w:sz w:val="20"/>
          <w:szCs w:val="20"/>
        </w:rPr>
        <w:t>or performance monitoring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, RAN1 agreed to support </w:t>
      </w:r>
      <w:r>
        <w:rPr>
          <w:rFonts w:hint="default" w:ascii="Times New Roman" w:hAnsi="Times New Roman" w:cs="Times New Roman"/>
          <w:sz w:val="20"/>
          <w:szCs w:val="20"/>
        </w:rPr>
        <w:t>SGCS as a performance metric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sz w:val="20"/>
          <w:szCs w:val="20"/>
        </w:rPr>
        <w:t>or performance monitoring type 3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(i.e. UE reports performance metric to NW)</w:t>
      </w:r>
      <w:r>
        <w:rPr>
          <w:rFonts w:hint="default"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detail, </w:t>
      </w:r>
      <w:r>
        <w:rPr>
          <w:rFonts w:hint="default" w:ascii="Times New Roman" w:hAnsi="Times New Roman" w:cs="Times New Roman"/>
          <w:sz w:val="20"/>
          <w:szCs w:val="20"/>
        </w:rPr>
        <w:t>reporting contents of UE assisted performance monitoring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includes two SGCS: one SGCS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is calculated based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on predicted CSI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 for one inference reporting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,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and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ground truth CSI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, another SGCS is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based on ground truth CSI a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nd CSI (non-predicted) corresponding to the latest CSI-RS transmission occasion not later than CSI reference resource of the inference reporting instance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.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FB4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070D38C3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RAN1#120bis meeting</w:t>
            </w:r>
          </w:p>
          <w:p w14:paraId="7F4C48F6">
            <w:pP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C7AB993">
            <w:pP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CSI prediction using UE-side model, for performance monitoring, support UE assisted performance monitoring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subject to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an additional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UE capability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, 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UE assisted performance monitoring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is based on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Type 3 performance monitoring </w:t>
            </w:r>
          </w:p>
          <w:p w14:paraId="6771603D">
            <w:pP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46CF8882">
            <w:pP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D2E85C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CSI prediction using UE-side model, for performance monitoring type 3, support SGCS as a performance metric. </w:t>
            </w:r>
          </w:p>
          <w:p w14:paraId="0FA7D2BB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  <w:p w14:paraId="66A608CB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RAN1#121 meeting</w:t>
            </w:r>
          </w:p>
          <w:p w14:paraId="2F94F5BE">
            <w:pPr>
              <w:suppressAutoHyphens/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0CB524A">
            <w:pPr>
              <w:widowControl w:val="0"/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reporting contents of UE assisted performance monitoring,</w:t>
            </w:r>
          </w:p>
          <w:p w14:paraId="4A670424">
            <w:pPr>
              <w:widowControl w:val="0"/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one SGCS is calculated based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on predicted CSI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for one inference reporting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ground truth CSI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, another SGCS is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based on ground truth CSI a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nd CSI (non-predicted) corresponding to the latest CSI-RS transmission occasion not later than CSI reference resource of the inference reporting instance</w:t>
            </w:r>
          </w:p>
          <w:p w14:paraId="476E87B2">
            <w:pPr>
              <w:widowControl w:val="0"/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SGCS is reported</w:t>
            </w:r>
          </w:p>
          <w:p w14:paraId="3A2D5988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>wideband frequency granularity</w:t>
            </w:r>
          </w:p>
          <w:p w14:paraId="55C120C4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>only for one prediction instance configured by NW</w:t>
            </w:r>
          </w:p>
          <w:p w14:paraId="609DBDC5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 xml:space="preserve">per layer, and the total number of layers is the same as the reported RI in the associated inference report </w:t>
            </w:r>
          </w:p>
          <w:p w14:paraId="37BD5D3B">
            <w:pPr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 xml:space="preserve">Introduce new RRC parameter for </w:t>
            </w:r>
            <w:r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  <w:lang w:eastAsia="ko-KR"/>
              </w:rPr>
              <w:t>reportQuantity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>, e.g., ‘SGCS-r19’</w:t>
            </w:r>
          </w:p>
          <w:p w14:paraId="77D5398E">
            <w:pPr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 xml:space="preserve">Each SGCS value is quantized with 4-bit </w:t>
            </w:r>
          </w:p>
          <w:p w14:paraId="5B3C7296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15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codepoints are used to uniformly quantize in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ko-KR"/>
              </w:rPr>
              <w:t>range [0.3 1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]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ko-KR"/>
              </w:rPr>
              <w:t xml:space="preserve"> in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linear scale.</w:t>
            </w:r>
          </w:p>
          <w:p w14:paraId="286B5A9F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One codepoint is used to indicate the value range of (0 0.3]</w:t>
            </w:r>
          </w:p>
          <w:p w14:paraId="7EF99870">
            <w:pPr>
              <w:numPr>
                <w:ilvl w:val="0"/>
                <w:numId w:val="6"/>
              </w:numPr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Only one monitoring resource set is configured in the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CSI-ReportConfig</w:t>
            </w:r>
          </w:p>
          <w:p w14:paraId="437314D3">
            <w:pPr>
              <w:numPr>
                <w:ilvl w:val="0"/>
                <w:numId w:val="6"/>
              </w:numPr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one configured time instance (i.e. f-th doppler domain unit in one inference report) for SGCS calculation is configured in the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 xml:space="preserve">CSI-ReportConfig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monitoring, for N4&gt;1</w:t>
            </w:r>
          </w:p>
          <w:p w14:paraId="19F3672E">
            <w:p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286244BA">
            <w:pPr>
              <w:suppressAutoHyphens/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27EAFC2">
            <w:pPr>
              <w:ind w:left="0" w:firstLine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support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single UCI part with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the following report format (i.e., CSI field mapping order) among a set of SGCSs. </w:t>
            </w:r>
          </w:p>
          <w:tbl>
            <w:tblPr>
              <w:tblStyle w:val="8"/>
              <w:tblW w:w="5035" w:type="dxa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035"/>
            </w:tblGrid>
            <w:tr w14:paraId="727001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0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DB3EF3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#1</w:t>
                  </w:r>
                </w:p>
              </w:tc>
            </w:tr>
            <w:tr w14:paraId="72E8FE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3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3CC95E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#2</w:t>
                  </w:r>
                </w:p>
              </w:tc>
            </w:tr>
            <w:tr w14:paraId="4230561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973DCA">
                  <w:pPr>
                    <w:shd w:val="clear" w:color="auto" w:fill="FFFFFF"/>
                    <w:snapToGrid w:val="0"/>
                    <w:ind w:left="819" w:leftChars="223" w:hanging="284" w:hangingChars="142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14:paraId="22D7160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3D30F5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</w:t>
                  </w:r>
                  <w:r>
                    <w:rPr>
                      <w:rFonts w:hint="default" w:ascii="Times New Roman" w:hAnsi="Times New Roman" w:eastAsia="宋体" w:cs="Times New Roman"/>
                      <w:i/>
                      <w:color w:val="000000"/>
                      <w:sz w:val="20"/>
                      <w:szCs w:val="20"/>
                    </w:rPr>
                    <w:t>v</w:t>
                  </w:r>
                </w:p>
              </w:tc>
            </w:tr>
            <w:tr w14:paraId="72D94BE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B75D93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#1</w:t>
                  </w:r>
                </w:p>
              </w:tc>
            </w:tr>
            <w:tr w14:paraId="0BBEB3C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3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ABDB80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#2</w:t>
                  </w:r>
                </w:p>
              </w:tc>
            </w:tr>
            <w:tr w14:paraId="4CBCDEF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3CEFB5">
                  <w:pPr>
                    <w:shd w:val="clear" w:color="auto" w:fill="FFFFFF"/>
                    <w:snapToGrid w:val="0"/>
                    <w:ind w:left="819" w:leftChars="223" w:hanging="284" w:hangingChars="142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14:paraId="184C56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4FE852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</w:t>
                  </w:r>
                  <w:r>
                    <w:rPr>
                      <w:rFonts w:hint="default" w:ascii="Times New Roman" w:hAnsi="Times New Roman" w:eastAsia="宋体" w:cs="Times New Roman"/>
                      <w:i/>
                      <w:color w:val="000000"/>
                      <w:sz w:val="20"/>
                      <w:szCs w:val="20"/>
                    </w:rPr>
                    <w:t>v</w:t>
                  </w:r>
                </w:p>
              </w:tc>
            </w:tr>
          </w:tbl>
          <w:p w14:paraId="637E8E9A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 xml:space="preserve">1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is calculated based on predicted CSI for one inference reporting, and ground truth CSI, </w:t>
            </w:r>
          </w:p>
          <w:p w14:paraId="15D318BF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 xml:space="preserve">2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is based on ground truth CSI and CSI (non-predicted) corresponding to the latest CSI-RS transmission occasion not later than CSI reference resource of the inference reporting instance</w:t>
            </w:r>
          </w:p>
          <w:p w14:paraId="4CC86AC1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#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is the SGCS of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-th layer of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-th SGCS where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={1, ….,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}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and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 xml:space="preserve"> 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={1, 2}.</w:t>
            </w:r>
          </w:p>
          <w:p w14:paraId="489DAF06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is the value of the reported RI in the associated inference report.</w:t>
            </w:r>
          </w:p>
          <w:p w14:paraId="7CE1A4DB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  <w:p w14:paraId="1CD511D0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RAN1#122 meeting</w:t>
            </w:r>
          </w:p>
          <w:p w14:paraId="1C34D6E1">
            <w:pP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32242518">
            <w:pP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  <w:t>Adopt following TPs for TS38.214 Section 5.2.1.4.6.</w:t>
            </w:r>
          </w:p>
          <w:tbl>
            <w:tblPr>
              <w:tblStyle w:val="8"/>
              <w:tblW w:w="0" w:type="auto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99"/>
              <w:gridCol w:w="5898"/>
            </w:tblGrid>
            <w:tr w14:paraId="6804C6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2FAFDBC4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Reason for change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88EC413">
                  <w:pP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eastAsia="ko-KR"/>
                    </w:rPr>
                    <w:t xml:space="preserve">In current specification, there is no SGCS quantization mapping table. </w:t>
                  </w:r>
                </w:p>
              </w:tc>
            </w:tr>
            <w:tr w14:paraId="3EF576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1A40D04F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  <w:t>Summary of change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3842112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SGCS quantization mapping table is added.</w:t>
                  </w:r>
                </w:p>
              </w:tc>
            </w:tr>
            <w:tr w14:paraId="5BA32E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69C16125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  <w:t>Consequences if not approved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B8B922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Incomplete capture of the agreement.</w:t>
                  </w:r>
                </w:p>
              </w:tc>
            </w:tr>
            <w:tr w14:paraId="3F8300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749" w:type="dxa"/>
                  <w:gridSpan w:val="2"/>
                  <w:shd w:val="clear" w:color="auto" w:fill="auto"/>
                </w:tcPr>
                <w:p w14:paraId="1E37480F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  <w:t>TS38.214</w:t>
                  </w:r>
                </w:p>
                <w:p w14:paraId="49D434DA">
                  <w:pP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>5.2.1.4.6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ab/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>CSI-PAI reporting</w:t>
                  </w:r>
                </w:p>
                <w:p w14:paraId="6CFC5B05">
                  <w:pPr>
                    <w:ind w:left="960" w:leftChars="400"/>
                    <w:jc w:val="center"/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&lt;&lt; Unchanged parts are omitted</w:t>
                  </w:r>
                  <w:r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&gt;&gt;</w:t>
                  </w:r>
                </w:p>
                <w:p w14:paraId="283CC821">
                  <w:pPr>
                    <w:numPr>
                      <w:ilvl w:val="0"/>
                      <w:numId w:val="7"/>
                    </w:numPr>
                    <w:ind w:left="714" w:hanging="357"/>
                    <w:contextualSpacing/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  <w:t xml:space="preserve">each calculated SGCS value is quantized to a 4-bit field, where the first codepoint ‘0000’ is used to indicate (0 0.3] value range, and the value range [0.3, 1] is quantized in a linear scale with 0.05 step size. Detailed mapping is specified in </w:t>
                  </w:r>
                  <w:r>
                    <w:rPr>
                      <w:rFonts w:hint="default" w:ascii="Times New Roman" w:hAnsi="Times New Roman" w:cs="Times New Roman"/>
                      <w:strike/>
                      <w:color w:val="FF0000"/>
                      <w:sz w:val="20"/>
                      <w:szCs w:val="20"/>
                      <w:lang w:val="en-US" w:eastAsia="zh-CN"/>
                    </w:rPr>
                    <w:t>[xx, TS 38.abc]</w:t>
                  </w: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val="en-US" w:eastAsia="zh-CN"/>
                    </w:rPr>
                    <w:t>Table 5.2.1.4.6-1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  <w:t>.</w:t>
                  </w:r>
                </w:p>
                <w:p w14:paraId="3ED65076">
                  <w:pPr>
                    <w:jc w:val="center"/>
                    <w:rPr>
                      <w:rFonts w:hint="default" w:ascii="Times New Roman" w:hAnsi="Times New Roman" w:cs="Times New Roman"/>
                      <w:bCs/>
                      <w:color w:val="FF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color w:val="FF0000"/>
                      <w:sz w:val="20"/>
                      <w:szCs w:val="20"/>
                      <w:lang w:val="en-US"/>
                    </w:rPr>
                    <w:t>Table 5.2.1.4.6-1: SGCS Quantization Mapping</w:t>
                  </w:r>
                </w:p>
                <w:tbl>
                  <w:tblPr>
                    <w:tblStyle w:val="8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11"/>
                    <w:gridCol w:w="1550"/>
                  </w:tblGrid>
                  <w:tr w14:paraId="6DE33F0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8E8E8"/>
                        <w:vAlign w:val="center"/>
                      </w:tcPr>
                      <w:p w14:paraId="3ED99AB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  <w:t>Code Point</w:t>
                        </w:r>
                      </w:p>
                    </w:tc>
                    <w:tc>
                      <w:tcPr>
                        <w:tcW w:w="0" w:type="auto"/>
                        <w:shd w:val="clear" w:color="auto" w:fill="E8E8E8"/>
                        <w:vAlign w:val="center"/>
                      </w:tcPr>
                      <w:p w14:paraId="3D11C5EF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  <w:t>Range</w:t>
                        </w:r>
                      </w:p>
                    </w:tc>
                  </w:tr>
                  <w:tr w14:paraId="3BC52EE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1F6149C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881848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[0.0000, 0.3000]</w:t>
                        </w:r>
                      </w:p>
                    </w:tc>
                  </w:tr>
                  <w:tr w14:paraId="28169A2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6A5AFFC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D5D1C6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(0.3000, 0.3500]</w:t>
                        </w:r>
                      </w:p>
                    </w:tc>
                  </w:tr>
                  <w:tr w14:paraId="72466EE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062530E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BD0BF44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(0.3500, 0.4000]</w:t>
                        </w:r>
                      </w:p>
                    </w:tc>
                  </w:tr>
                  <w:tr w14:paraId="20109AF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318FCD8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0A8A00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(0.4000, 0.4500]</w:t>
                        </w:r>
                      </w:p>
                    </w:tc>
                  </w:tr>
                  <w:tr w14:paraId="62612D9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815CED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7AC270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(0.4500, 0.5000]</w:t>
                        </w:r>
                      </w:p>
                    </w:tc>
                  </w:tr>
                  <w:tr w14:paraId="2139BA1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51F376D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99E1934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(0.5000, 0.5500]</w:t>
                        </w:r>
                      </w:p>
                    </w:tc>
                  </w:tr>
                  <w:tr w14:paraId="7F06854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EA56BF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B2B812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(0.5500, 0.6000]</w:t>
                        </w:r>
                      </w:p>
                    </w:tc>
                  </w:tr>
                  <w:tr w14:paraId="2936260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8336249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64E699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(0.6000, 0.6500]</w:t>
                        </w:r>
                      </w:p>
                    </w:tc>
                  </w:tr>
                  <w:tr w14:paraId="1A3025A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D5E3975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2CEFF97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(0.6500, 0.7000]</w:t>
                        </w:r>
                      </w:p>
                    </w:tc>
                  </w:tr>
                  <w:tr w14:paraId="1FA0159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420B9A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67E200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(0.7000, 0.7500]</w:t>
                        </w:r>
                      </w:p>
                    </w:tc>
                  </w:tr>
                  <w:tr w14:paraId="0EB81F0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B68582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D09DEE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(0.7500, 0.8000]</w:t>
                        </w:r>
                      </w:p>
                    </w:tc>
                  </w:tr>
                  <w:tr w14:paraId="10672EF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88A24D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6B4C7F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(0.8000, 0.8500]</w:t>
                        </w:r>
                      </w:p>
                    </w:tc>
                  </w:tr>
                  <w:tr w14:paraId="6646830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182497E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E4A5FB5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(0.8500, 0.9000]</w:t>
                        </w:r>
                      </w:p>
                    </w:tc>
                  </w:tr>
                  <w:tr w14:paraId="53CF5C0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A1DD9C5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6382AD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(0.9000, 0.9500]</w:t>
                        </w:r>
                      </w:p>
                    </w:tc>
                  </w:tr>
                  <w:tr w14:paraId="21E1406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509888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9C767AD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(0.9500, 1.0000]</w:t>
                        </w:r>
                      </w:p>
                    </w:tc>
                  </w:tr>
                  <w:tr w14:paraId="28E21BC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96F6543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18C92A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Reserved</w:t>
                        </w:r>
                      </w:p>
                    </w:tc>
                  </w:tr>
                </w:tbl>
                <w:p w14:paraId="055093B6">
                  <w:pPr>
                    <w:jc w:val="center"/>
                    <w:rPr>
                      <w:rFonts w:hint="default" w:ascii="Times New Roman" w:hAnsi="Times New Roman" w:cs="Times New Roman"/>
                      <w:color w:val="A02B93"/>
                      <w:sz w:val="20"/>
                      <w:szCs w:val="20"/>
                    </w:rPr>
                  </w:pPr>
                </w:p>
                <w:p w14:paraId="7F3F6E9A">
                  <w:pPr>
                    <w:ind w:left="960" w:leftChars="400"/>
                    <w:jc w:val="center"/>
                    <w:rPr>
                      <w:rFonts w:hint="default" w:ascii="Times New Roman" w:hAnsi="Times New Roman" w:cs="Times New Roman"/>
                      <w:i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&lt;&lt; Unchanged parts are omitted</w:t>
                  </w:r>
                  <w:r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&gt;&gt;</w:t>
                  </w:r>
                </w:p>
              </w:tc>
            </w:tr>
          </w:tbl>
          <w:p w14:paraId="1FBEF5D9">
            <w:pP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</w:pPr>
          </w:p>
          <w:p w14:paraId="63258D77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4ABD3F6C">
      <w:pPr>
        <w:spacing w:after="180" w:line="240" w:lineRule="exact"/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</w:pPr>
    </w:p>
    <w:p w14:paraId="0087CE59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Normally, RAN4 need to define reporting mapping for the reported quantity. SGCS is newly introduced, and reporting mapping is required.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According to RAN1 agreements, the reported SGCS value is quantized with 4-bit.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15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codepoints are used to uniformly quantize in </w:t>
      </w:r>
      <w:r>
        <w:rPr>
          <w:rFonts w:hint="default" w:ascii="Times New Roman" w:hAnsi="Times New Roman" w:cs="Times New Roman"/>
          <w:color w:val="000000"/>
          <w:sz w:val="20"/>
          <w:szCs w:val="20"/>
          <w:lang w:eastAsia="ko-KR"/>
        </w:rPr>
        <w:t>range [0.3 1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eastAsia="zh-CN"/>
        </w:rPr>
        <w:t>]</w:t>
      </w:r>
      <w:r>
        <w:rPr>
          <w:rFonts w:hint="default" w:ascii="Times New Roman" w:hAnsi="Times New Roman" w:cs="Times New Roman"/>
          <w:color w:val="000000"/>
          <w:sz w:val="20"/>
          <w:szCs w:val="20"/>
          <w:lang w:eastAsia="ko-KR"/>
        </w:rPr>
        <w:t xml:space="preserve"> in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linear scale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and one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codepoint is used to indicate the value range of (0 0.3]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According to RAN1 latest agreements, SGCS quantization mapping table is added to TS 38.214. RAN4 no need to define the reporting mapping for SGCS. </w:t>
      </w:r>
    </w:p>
    <w:p w14:paraId="101A2BD0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Proposal 2: for CSI prediction, RAN4 no need to define report mapping for SGCS, since RAN1 has defined the SGCS quantization mapping table in TS38.214.</w:t>
      </w:r>
    </w:p>
    <w:p w14:paraId="12CDCCD3">
      <w:pPr>
        <w:spacing w:after="180" w:line="240" w:lineRule="exact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 w14:paraId="6628EBD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1B14D987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CSI prediction. The proposals are:</w:t>
      </w:r>
    </w:p>
    <w:p w14:paraId="53AB678D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1: based on RAN1 agreements, for CSI prediction, the inference reporting delay is legacy Z/Z’ plus t, where t is reported by UE. </w:t>
      </w:r>
    </w:p>
    <w:p w14:paraId="153C5221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Proposal 2: for CSI prediction, RAN4 no need to define report mapping for SGCS, since RAN1 has defined the SGCS quantization mapping table in TS38.214.</w:t>
      </w:r>
    </w:p>
    <w:p w14:paraId="239ECC72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bookmarkStart w:id="8" w:name="_GoBack"/>
      <w:bookmarkEnd w:id="8"/>
    </w:p>
    <w:p w14:paraId="778D4467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06FD4E51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15E4C339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7F889D77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R4-2514631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[116bis][112] R19 AI for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6B6A316C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R4-2511890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for air interface for [116][131], Qualcomm Incorporated</w:t>
      </w:r>
    </w:p>
    <w:p w14:paraId="1754C8D5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R4-2508080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NR_AIML_air_part1, Qualcomm Incorporated</w:t>
      </w:r>
    </w:p>
    <w:p w14:paraId="669889FF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9518050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R4-2502856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the requirements for AI/ML air interfance, Qualcomm Incorporated</w:t>
      </w:r>
    </w:p>
    <w:p w14:paraId="3BA597AB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78013EBC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293AF0AA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789E0F27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5D53CE1A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11652D0C">
      <w:pPr>
        <w:pStyle w:val="13"/>
        <w:framePr w:wrap="auto" w:vAnchor="margin" w:hAnchor="text" w:yAlign="inline"/>
        <w:numPr>
          <w:ilvl w:val="0"/>
          <w:numId w:val="8"/>
        </w:numPr>
        <w:ind w:left="0" w:leftChars="0" w:right="400" w:firstLine="0" w:firstLineChars="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3GPP TR 38.843, Study on Artificial Intelligence (AI)/Machine Learning (ML) for NR air interface</w:t>
      </w:r>
    </w:p>
    <w:p w14:paraId="6E887E31">
      <w:pPr>
        <w:pStyle w:val="13"/>
        <w:framePr w:wrap="auto" w:vAnchor="margin" w:hAnchor="text" w:yAlign="inline"/>
        <w:numPr>
          <w:ilvl w:val="0"/>
          <w:numId w:val="8"/>
        </w:numPr>
        <w:ind w:left="0" w:leftChars="0" w:right="400" w:firstLine="0" w:firstLineChars="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R4-2502970, Baseline Simulation assumptions for AIML based CSI prediction</w:t>
      </w:r>
    </w:p>
    <w:p w14:paraId="629E0817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6702995A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691E966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01E00BA"/>
    <w:multiLevelType w:val="multilevel"/>
    <w:tmpl w:val="101E00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5">
    <w:nsid w:val="65C87DC0"/>
    <w:multiLevelType w:val="multilevel"/>
    <w:tmpl w:val="65C87DC0"/>
    <w:lvl w:ilvl="0" w:tentative="0">
      <w:start w:val="0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  <w:color w:val="auto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8DB4C02"/>
    <w:multiLevelType w:val="multilevel"/>
    <w:tmpl w:val="78DB4C02"/>
    <w:lvl w:ilvl="0" w:tentative="0">
      <w:start w:val="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7795D"/>
    <w:rsid w:val="03611524"/>
    <w:rsid w:val="07AB7CB1"/>
    <w:rsid w:val="096168DE"/>
    <w:rsid w:val="0A12645E"/>
    <w:rsid w:val="0EA7453D"/>
    <w:rsid w:val="0EF868E9"/>
    <w:rsid w:val="0FC72972"/>
    <w:rsid w:val="0FE50EF5"/>
    <w:rsid w:val="104B4DE1"/>
    <w:rsid w:val="131967B4"/>
    <w:rsid w:val="15372CA7"/>
    <w:rsid w:val="15685863"/>
    <w:rsid w:val="15C5068C"/>
    <w:rsid w:val="1A4B52AF"/>
    <w:rsid w:val="1BBC5511"/>
    <w:rsid w:val="1C7B476C"/>
    <w:rsid w:val="1CB369A2"/>
    <w:rsid w:val="1DBE197E"/>
    <w:rsid w:val="1FBF393A"/>
    <w:rsid w:val="20D90991"/>
    <w:rsid w:val="21F40C42"/>
    <w:rsid w:val="26BF393B"/>
    <w:rsid w:val="28B43155"/>
    <w:rsid w:val="2CAD0457"/>
    <w:rsid w:val="2F6E5AEF"/>
    <w:rsid w:val="2F9B0DC5"/>
    <w:rsid w:val="308E7578"/>
    <w:rsid w:val="320E50AB"/>
    <w:rsid w:val="349C69DF"/>
    <w:rsid w:val="355918F8"/>
    <w:rsid w:val="375458D3"/>
    <w:rsid w:val="377A18C9"/>
    <w:rsid w:val="3A1105DA"/>
    <w:rsid w:val="3A3A1E13"/>
    <w:rsid w:val="3DEF01B7"/>
    <w:rsid w:val="408D0C45"/>
    <w:rsid w:val="40973256"/>
    <w:rsid w:val="43BD0969"/>
    <w:rsid w:val="45AD34DF"/>
    <w:rsid w:val="49A01FC5"/>
    <w:rsid w:val="4B792CDC"/>
    <w:rsid w:val="4D3D03C8"/>
    <w:rsid w:val="512A0C17"/>
    <w:rsid w:val="513C2E56"/>
    <w:rsid w:val="55135D59"/>
    <w:rsid w:val="55FB6C1C"/>
    <w:rsid w:val="56BE68CA"/>
    <w:rsid w:val="5A99268A"/>
    <w:rsid w:val="5ABF3A5C"/>
    <w:rsid w:val="5D6D78B2"/>
    <w:rsid w:val="5F401ED1"/>
    <w:rsid w:val="61761ECF"/>
    <w:rsid w:val="65711B39"/>
    <w:rsid w:val="66A80E51"/>
    <w:rsid w:val="68232E85"/>
    <w:rsid w:val="682B15F5"/>
    <w:rsid w:val="68661B41"/>
    <w:rsid w:val="6D205895"/>
    <w:rsid w:val="6E056E0D"/>
    <w:rsid w:val="701F0781"/>
    <w:rsid w:val="7036127C"/>
    <w:rsid w:val="73E61131"/>
    <w:rsid w:val="748A0340"/>
    <w:rsid w:val="75886832"/>
    <w:rsid w:val="77367590"/>
    <w:rsid w:val="77D942B0"/>
    <w:rsid w:val="7C3F4164"/>
    <w:rsid w:val="7DC2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rPr>
      <w:b/>
      <w:bCs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</w:style>
  <w:style w:type="paragraph" w:styleId="6">
    <w:name w:val="Date"/>
    <w:basedOn w:val="1"/>
    <w:next w:val="1"/>
    <w:unhideWhenUsed/>
    <w:qFormat/>
    <w:uiPriority w:val="99"/>
    <w:pPr>
      <w:ind w:left="100" w:leftChars="2500"/>
    </w:p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9">
    <w:name w:val="Table Grid"/>
    <w:basedOn w:val="8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2">
    <w:name w:val="Proposal"/>
    <w:basedOn w:val="5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CMCC-Jingjing</cp:lastModifiedBy>
  <dcterms:modified xsi:type="dcterms:W3CDTF">2025-11-07T08:10:36Z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6869B0C1A34749A384ADE3AAD7A61322</vt:lpwstr>
  </property>
</Properties>
</file>